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   </w:t>
      </w:r>
      <w:r w:rsidRPr="002D07CB">
        <w:rPr>
          <w:rFonts w:ascii="Corbel" w:hAnsi="Corbel"/>
        </w:rPr>
        <w:tab/>
        <w:t xml:space="preserve"> </w:t>
      </w:r>
      <w:r w:rsidRPr="002D07CB">
        <w:rPr>
          <w:rFonts w:ascii="Corbel" w:hAnsi="Corbel"/>
        </w:rPr>
        <w:tab/>
        <w:t xml:space="preserve"> </w:t>
      </w:r>
      <w:r w:rsidRPr="002D07CB">
        <w:rPr>
          <w:rFonts w:ascii="Corbel" w:hAnsi="Corbel"/>
        </w:rPr>
        <w:tab/>
        <w:t xml:space="preserve"> </w:t>
      </w:r>
      <w:r w:rsidRPr="002D07CB">
        <w:rPr>
          <w:rFonts w:ascii="Corbel" w:hAnsi="Corbel"/>
        </w:rPr>
        <w:tab/>
      </w:r>
      <w:r w:rsidR="002D07CB">
        <w:rPr>
          <w:rFonts w:ascii="Corbel" w:hAnsi="Corbel"/>
        </w:rPr>
        <w:tab/>
      </w:r>
      <w:r w:rsidR="002D07CB">
        <w:rPr>
          <w:rFonts w:ascii="Corbel" w:hAnsi="Corbel"/>
        </w:rPr>
        <w:tab/>
      </w:r>
      <w:r w:rsidRPr="002D07CB">
        <w:rPr>
          <w:rFonts w:ascii="Corbel" w:hAnsi="Corbel"/>
        </w:rPr>
        <w:t xml:space="preserve">Załącznik nr 1.5 do Zarządzenia Rektora UR  nr 12/2019 </w:t>
      </w:r>
    </w:p>
    <w:p w:rsidR="002D07CB" w:rsidRDefault="002D07CB" w:rsidP="002D07CB">
      <w:pPr>
        <w:jc w:val="center"/>
        <w:rPr>
          <w:rFonts w:ascii="Corbel" w:hAnsi="Corbel"/>
        </w:rPr>
      </w:pPr>
    </w:p>
    <w:p w:rsidR="002D07CB" w:rsidRDefault="002D07CB" w:rsidP="002D07CB">
      <w:pPr>
        <w:jc w:val="center"/>
        <w:rPr>
          <w:rFonts w:ascii="Corbel" w:hAnsi="Corbel"/>
        </w:rPr>
      </w:pPr>
    </w:p>
    <w:p w:rsidR="006E719C" w:rsidRPr="002D07CB" w:rsidRDefault="00E86F7B" w:rsidP="002D07CB">
      <w:pPr>
        <w:jc w:val="center"/>
        <w:rPr>
          <w:rFonts w:ascii="Corbel" w:hAnsi="Corbel"/>
          <w:b/>
        </w:rPr>
      </w:pPr>
      <w:r w:rsidRPr="002D07CB">
        <w:rPr>
          <w:rFonts w:ascii="Corbel" w:hAnsi="Corbel"/>
          <w:b/>
        </w:rPr>
        <w:t>SYLABUS</w:t>
      </w:r>
    </w:p>
    <w:p w:rsidR="006E719C" w:rsidRPr="002D07CB" w:rsidRDefault="00E86F7B" w:rsidP="002D07CB">
      <w:pPr>
        <w:jc w:val="center"/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DOTYCZY CYKLU KSZTAŁCENIA </w:t>
      </w:r>
      <w:r w:rsidR="009533D9" w:rsidRPr="002D07CB">
        <w:rPr>
          <w:rFonts w:ascii="Corbel" w:hAnsi="Corbel"/>
          <w:b/>
        </w:rPr>
        <w:t>20</w:t>
      </w:r>
      <w:r w:rsidR="00224D01">
        <w:rPr>
          <w:rFonts w:ascii="Corbel" w:hAnsi="Corbel"/>
          <w:b/>
        </w:rPr>
        <w:t>19</w:t>
      </w:r>
      <w:r w:rsidR="009533D9" w:rsidRPr="002D07CB">
        <w:rPr>
          <w:rFonts w:ascii="Corbel" w:hAnsi="Corbel"/>
          <w:b/>
        </w:rPr>
        <w:t>-202</w:t>
      </w:r>
      <w:r w:rsidR="00224D01">
        <w:rPr>
          <w:rFonts w:ascii="Corbel" w:hAnsi="Corbel"/>
          <w:b/>
        </w:rPr>
        <w:t>1</w:t>
      </w:r>
    </w:p>
    <w:p w:rsidR="006E719C" w:rsidRPr="002D07CB" w:rsidRDefault="00E86F7B" w:rsidP="002D07CB">
      <w:pPr>
        <w:jc w:val="center"/>
        <w:rPr>
          <w:rFonts w:ascii="Corbel" w:hAnsi="Corbel"/>
          <w:b/>
        </w:rPr>
      </w:pPr>
      <w:r w:rsidRPr="002D07CB">
        <w:rPr>
          <w:rFonts w:ascii="Corbel" w:hAnsi="Corbel"/>
          <w:b/>
        </w:rPr>
        <w:t>(skrajne daty)</w:t>
      </w:r>
    </w:p>
    <w:p w:rsidR="006E719C" w:rsidRPr="002D07CB" w:rsidRDefault="008C3117" w:rsidP="002D07CB">
      <w:pPr>
        <w:jc w:val="center"/>
        <w:rPr>
          <w:rFonts w:ascii="Corbel" w:hAnsi="Corbel"/>
          <w:b/>
        </w:rPr>
      </w:pPr>
      <w:r>
        <w:rPr>
          <w:rFonts w:ascii="Corbel" w:hAnsi="Corbel"/>
          <w:b/>
        </w:rPr>
        <w:t xml:space="preserve">Rok akademicki </w:t>
      </w:r>
      <w:r w:rsidR="00224D01">
        <w:rPr>
          <w:rFonts w:ascii="Corbel" w:hAnsi="Corbel"/>
          <w:b/>
        </w:rPr>
        <w:t>2020/</w:t>
      </w:r>
      <w:r w:rsidR="00E86F7B" w:rsidRPr="002D07CB">
        <w:rPr>
          <w:rFonts w:ascii="Corbel" w:hAnsi="Corbel"/>
          <w:b/>
        </w:rPr>
        <w:t>2021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1. PODSTAWOWE INFORMACJE O PRZEDMIOCIE 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Polityka bezpieczeństwa III RP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MK_22 </w:t>
            </w:r>
          </w:p>
        </w:tc>
      </w:tr>
      <w:tr w:rsidR="006E719C" w:rsidRPr="002D07CB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Kolegium Nauk Społecznych </w:t>
            </w:r>
          </w:p>
        </w:tc>
      </w:tr>
      <w:tr w:rsidR="006E719C" w:rsidRPr="002D07CB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7E1B0A" w:rsidP="002D07CB">
            <w:pPr>
              <w:rPr>
                <w:rFonts w:ascii="Corbel" w:hAnsi="Corbel"/>
              </w:rPr>
            </w:pPr>
            <w:r w:rsidRPr="007E1B0A">
              <w:rPr>
                <w:rFonts w:ascii="Corbel" w:hAnsi="Corbel"/>
              </w:rPr>
              <w:t>Kolegium Nauk Społecznych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Politologia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Poziom studiów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studia </w:t>
            </w:r>
            <w:r w:rsidR="00EA0EC2" w:rsidRPr="002D07CB">
              <w:rPr>
                <w:rFonts w:ascii="Corbel" w:hAnsi="Corbel"/>
                <w:b/>
              </w:rPr>
              <w:t>II</w:t>
            </w:r>
            <w:r w:rsidRPr="002D07CB">
              <w:rPr>
                <w:rFonts w:ascii="Corbel" w:hAnsi="Corbel"/>
                <w:b/>
              </w:rPr>
              <w:t xml:space="preserve"> stopnia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ogólnoakademicki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stacjonarne </w:t>
            </w:r>
          </w:p>
        </w:tc>
      </w:tr>
      <w:tr w:rsidR="006E719C" w:rsidRPr="002D07CB">
        <w:trPr>
          <w:trHeight w:val="2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II rok, semestr III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fakultatywny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polski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Dr Maciej Milczanowski </w:t>
            </w:r>
          </w:p>
        </w:tc>
      </w:tr>
      <w:tr w:rsidR="006E719C" w:rsidRPr="002D07CB">
        <w:trPr>
          <w:trHeight w:val="28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E719C" w:rsidRPr="002D07CB" w:rsidRDefault="006E719C" w:rsidP="002D07CB">
            <w:pPr>
              <w:rPr>
                <w:rFonts w:ascii="Corbel" w:hAnsi="Corbel"/>
              </w:rPr>
            </w:pPr>
          </w:p>
        </w:tc>
      </w:tr>
      <w:tr w:rsidR="006E719C" w:rsidRPr="002D07CB">
        <w:trPr>
          <w:trHeight w:val="555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Dr Maciej Milczanowski 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* -opcjonalnie, zgodnie z ustaleniami w Jednostce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1.1.Formy zajęć dydaktycznych, wymiar godzin i punktów ECTS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9844" w:type="dxa"/>
        <w:tblInd w:w="-108" w:type="dxa"/>
        <w:tblCellMar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1112"/>
        <w:gridCol w:w="919"/>
        <w:gridCol w:w="802"/>
        <w:gridCol w:w="883"/>
        <w:gridCol w:w="811"/>
        <w:gridCol w:w="828"/>
        <w:gridCol w:w="780"/>
        <w:gridCol w:w="958"/>
        <w:gridCol w:w="1205"/>
        <w:gridCol w:w="1546"/>
      </w:tblGrid>
      <w:tr w:rsidR="006E719C" w:rsidRPr="002D07CB" w:rsidTr="002D07CB">
        <w:trPr>
          <w:trHeight w:val="802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Semestr</w:t>
            </w:r>
          </w:p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Wykł.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Ćw.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Konw.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Prakt.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Inne (jakie?)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Liczba pkt ECTS</w:t>
            </w:r>
          </w:p>
        </w:tc>
      </w:tr>
      <w:tr w:rsidR="006E719C" w:rsidRPr="002D07CB" w:rsidTr="002D07CB">
        <w:trPr>
          <w:trHeight w:val="463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III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20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D67AEF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D67AEF">
              <w:rPr>
                <w:rFonts w:ascii="Corbel" w:hAnsi="Corbel"/>
                <w:b/>
              </w:rPr>
              <w:t>4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EA0EC2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1.2. Sposób realizacji zajęć  </w:t>
      </w:r>
    </w:p>
    <w:p w:rsidR="00EA0EC2" w:rsidRPr="002D07CB" w:rsidRDefault="00EA0EC2" w:rsidP="002D07CB">
      <w:pPr>
        <w:rPr>
          <w:rFonts w:ascii="Corbel" w:hAnsi="Corbel"/>
        </w:rPr>
      </w:pP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X</w:t>
      </w:r>
      <w:r w:rsidR="00EA0EC2" w:rsidRPr="002D07CB">
        <w:rPr>
          <w:rFonts w:ascii="Corbel" w:hAnsi="Corbel"/>
        </w:rPr>
        <w:t xml:space="preserve"> </w:t>
      </w:r>
      <w:r w:rsidRPr="002D07CB">
        <w:rPr>
          <w:rFonts w:ascii="Corbel" w:hAnsi="Corbel"/>
        </w:rPr>
        <w:t xml:space="preserve"> zajęcia w formie tradycyjnej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Segoe UI Symbol" w:hAnsi="Segoe UI Symbol" w:cs="Segoe UI Symbol"/>
        </w:rPr>
        <w:t>☐</w:t>
      </w:r>
      <w:r w:rsidRPr="002D07CB">
        <w:rPr>
          <w:rFonts w:ascii="Corbel" w:hAnsi="Corbel"/>
        </w:rPr>
        <w:t xml:space="preserve"> zajęcia realizowane z wykorzystaniem metod i technik kształcenia na odległość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1.3  Forma zaliczenia przedmiotu (z toku) (egzamin, zaliczenie z oceną, zaliczenie bez oceny)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B207D7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>zaliczenie z oceną</w:t>
      </w:r>
      <w:r>
        <w:rPr>
          <w:rFonts w:ascii="Corbel" w:hAnsi="Corbel"/>
          <w:b/>
        </w:rPr>
        <w:t xml:space="preserve"> </w:t>
      </w:r>
      <w:r w:rsidR="002D07CB">
        <w:rPr>
          <w:rFonts w:ascii="Corbel" w:hAnsi="Corbel"/>
          <w:b/>
        </w:rPr>
        <w:br w:type="column"/>
      </w:r>
      <w:r w:rsidR="00E86F7B" w:rsidRPr="002D07CB">
        <w:rPr>
          <w:rFonts w:ascii="Corbel" w:hAnsi="Corbel"/>
          <w:b/>
        </w:rPr>
        <w:lastRenderedPageBreak/>
        <w:t xml:space="preserve">2.WYMAGANIA WSTĘPNE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dobra znajomość podstawowych zagadnień z teorii bezpieczeństwa, historii najnowszej i stosunków międzynarodowych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3. CELE, EFEKTY UCZENIA SIĘ, TREŚCI PROGRAMOWE I STOSOWANE METODY DYDAKTYCZNE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3.1 Cele przedmiotu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9672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6E719C" w:rsidRPr="002D07CB">
        <w:trPr>
          <w:trHeight w:val="64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zdobycie przez studenta wiedzy na temat wybranych elementów polityki bezpieczeństwa Polski po 1989 r. </w:t>
            </w:r>
          </w:p>
        </w:tc>
      </w:tr>
      <w:tr w:rsidR="006E719C" w:rsidRPr="002D07CB">
        <w:trPr>
          <w:trHeight w:val="36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kategoryzacja współczesnych zagrożeń dla bezpieczeństwa Polski </w:t>
            </w:r>
          </w:p>
        </w:tc>
      </w:tr>
      <w:tr w:rsidR="006E719C" w:rsidRPr="002D07CB">
        <w:trPr>
          <w:trHeight w:val="64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kształtowanie umiejętności analizy problemów bezpieczeństwa III RP w warunkach członkostwa w Unii Europejskiej i NATO 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3.2 Efekty uczenia się dla przedmiotu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9672" w:type="dxa"/>
        <w:tblInd w:w="0" w:type="dxa"/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EA0EC2" w:rsidRPr="002D07CB" w:rsidTr="002D07CB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2" w:rsidRPr="002D07CB" w:rsidRDefault="00EA0EC2" w:rsidP="002D07CB">
            <w:pPr>
              <w:spacing w:line="240" w:lineRule="auto"/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EK (efekt uczenia się)</w:t>
            </w:r>
          </w:p>
        </w:tc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2" w:rsidRPr="002D07CB" w:rsidRDefault="00EA0EC2" w:rsidP="002D07CB">
            <w:pPr>
              <w:spacing w:line="240" w:lineRule="auto"/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Treść efektu uczenia się zdefiniowanego dla przedmiotu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2" w:rsidRPr="002D07CB" w:rsidRDefault="00EA0EC2" w:rsidP="002D07CB">
            <w:pPr>
              <w:spacing w:line="240" w:lineRule="auto"/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Odniesienie do efektów</w:t>
            </w:r>
          </w:p>
          <w:p w:rsidR="00EA0EC2" w:rsidRPr="002D07CB" w:rsidRDefault="00EA0EC2" w:rsidP="002D07CB">
            <w:pPr>
              <w:spacing w:line="240" w:lineRule="auto"/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kierunkowych </w:t>
            </w:r>
            <w:r w:rsidRPr="002D07CB">
              <w:rPr>
                <w:rFonts w:ascii="Corbel" w:hAnsi="Corbel"/>
                <w:b/>
                <w:vertAlign w:val="superscript"/>
              </w:rPr>
              <w:footnoteReference w:id="1"/>
            </w:r>
          </w:p>
        </w:tc>
      </w:tr>
      <w:tr w:rsidR="006E719C" w:rsidRPr="002D07CB" w:rsidTr="002D07CB">
        <w:tblPrEx>
          <w:tblCellMar>
            <w:left w:w="108" w:type="dxa"/>
            <w:right w:w="149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EK_01 </w:t>
            </w:r>
          </w:p>
        </w:tc>
        <w:tc>
          <w:tcPr>
            <w:tcW w:w="6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omawia zmiany w strategiach bezpieczeństwa narodowego po 1989 r.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K_W02 </w:t>
            </w:r>
          </w:p>
        </w:tc>
      </w:tr>
      <w:tr w:rsidR="006E719C" w:rsidRPr="002D07CB" w:rsidTr="002D07CB">
        <w:tblPrEx>
          <w:tblCellMar>
            <w:left w:w="108" w:type="dxa"/>
            <w:right w:w="149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EK_02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posiada rozszerzoną wiedzę na temat bezpieczeństwa militarnego, energetycznego Polski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K_W03 </w:t>
            </w:r>
          </w:p>
        </w:tc>
      </w:tr>
      <w:tr w:rsidR="006E719C" w:rsidRPr="002D07CB" w:rsidTr="002D07CB">
        <w:tblPrEx>
          <w:tblCellMar>
            <w:left w:w="108" w:type="dxa"/>
            <w:right w:w="149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EK_03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wykorzystuje nabytą wiedzę politologiczną do analizowania przyczyn i przebiegu konkretnych procesów politycznych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K_U01 </w:t>
            </w:r>
          </w:p>
        </w:tc>
      </w:tr>
      <w:tr w:rsidR="006E719C" w:rsidRPr="002D07CB" w:rsidTr="002D07CB">
        <w:tblPrEx>
          <w:tblCellMar>
            <w:left w:w="108" w:type="dxa"/>
            <w:right w:w="149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EK_04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potrafi samodzielnie uzupełniać wiedzę i umiejętności o wymiar interdyscyplinarny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K_K06 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2D07CB" w:rsidP="002D07CB">
      <w:pPr>
        <w:rPr>
          <w:rFonts w:ascii="Corbel" w:hAnsi="Corbel"/>
          <w:b/>
        </w:rPr>
      </w:pPr>
      <w:r>
        <w:rPr>
          <w:rFonts w:ascii="Corbel" w:hAnsi="Corbel"/>
          <w:b/>
        </w:rPr>
        <w:t>3.3 Treści programowe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A. Problematyka ćwiczeń audytoryjnych, konwersatoryjnych, laboratoryjnych, zajęć praktycznych  </w:t>
      </w:r>
    </w:p>
    <w:tbl>
      <w:tblPr>
        <w:tblStyle w:val="TableGrid"/>
        <w:tblW w:w="9343" w:type="dxa"/>
        <w:tblInd w:w="14" w:type="dxa"/>
        <w:tblCellMar>
          <w:left w:w="12" w:type="dxa"/>
          <w:right w:w="115" w:type="dxa"/>
        </w:tblCellMar>
        <w:tblLook w:val="04A0" w:firstRow="1" w:lastRow="0" w:firstColumn="1" w:lastColumn="0" w:noHBand="0" w:noVBand="1"/>
      </w:tblPr>
      <w:tblGrid>
        <w:gridCol w:w="9343"/>
      </w:tblGrid>
      <w:tr w:rsidR="006E719C" w:rsidRPr="002D07CB">
        <w:tc>
          <w:tcPr>
            <w:tcW w:w="9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Temat zajęć </w:t>
            </w:r>
          </w:p>
        </w:tc>
      </w:tr>
      <w:tr w:rsidR="006E719C" w:rsidRPr="002D07CB">
        <w:tc>
          <w:tcPr>
            <w:tcW w:w="9343" w:type="dxa"/>
            <w:tcBorders>
              <w:top w:val="single" w:sz="4" w:space="0" w:color="000000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Wprowadzenie do przedmiotu, główne pojęcia.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Sytuacja globalna i regionalna (Europa) u schyłku lat 80-tych XXw.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Wyzwania i dylematy geopolityczne pierwszych lat III RP.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Problemy wewnętrzne pierwszych lat III RP w kontekście polityki bezpieczeństwa.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Zasadnicze kierunki polityczno-strategiczne III RP w l. 90-tych XXw.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Polityka międzynarodowa III RP w l. 90-tych XXw.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Rola wojska III RP: od czerwonego do niebieskiego.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Zmiany polityki bezpieczeństwa pierwszego dwudziestolecia XXI wieku.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Próba bilansu transformacji systemowej RP po 89r. i rozwoju polityki bezpieczeństwa III RP.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Perspektywy (wyzwania, zagrożenia, szanse) polityki bezpieczeństwa RP.  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lastRenderedPageBreak/>
        <w:t xml:space="preserve">3.4 Metody dydaktyczne  wykład problemowy, wykład z prezentacją multimedialną, analiza tekstów z dyskusją, metoda projektów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Np.: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Wykład: wykład problemowy, wykład z prezentacją multimedialną, metody kształcenia na odległość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Ćwiczenia: analiza tekstów z dyskusją, metoda projektów (projekt badawczy, wdrożeniowy, praktyczny), praca w grupach (rozwiązywanie zadań, dyskusja),gry dydaktyczne, metody kształcenia na odległość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Laboratorium: wykonywanie doświadczeń, projektowanie doświadczeń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4. METODY I KRYTERIA OCENY 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4.1 Sposoby weryfikacji efektów uczenia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5103"/>
        <w:gridCol w:w="2127"/>
      </w:tblGrid>
      <w:tr w:rsidR="006E719C" w:rsidRPr="002D07CB">
        <w:trPr>
          <w:trHeight w:val="111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Symbol efektu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Metody oceny efektów uczenia</w:t>
            </w:r>
          </w:p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(np.: kolokwium, egzamin ustny, egzamin pisemny, projekt, sprawozdanie, obserwacja</w:t>
            </w:r>
          </w:p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Forma zajęć dydaktycznych</w:t>
            </w:r>
          </w:p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(w, ćw, …)</w:t>
            </w:r>
          </w:p>
        </w:tc>
      </w:tr>
      <w:tr w:rsidR="006E719C" w:rsidRPr="002D07CB" w:rsidTr="002D07CB">
        <w:trPr>
          <w:trHeight w:val="2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 01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zaliczenie testu pisemnego na ocenę pozytywną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konwersatorium </w:t>
            </w:r>
          </w:p>
        </w:tc>
      </w:tr>
      <w:tr w:rsidR="006E719C" w:rsidRPr="002D07CB" w:rsidTr="002D07CB">
        <w:trPr>
          <w:trHeight w:val="2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 02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zaliczenie testu pisemnego na ocenę pozytywną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konwersatorium </w:t>
            </w:r>
          </w:p>
        </w:tc>
      </w:tr>
      <w:tr w:rsidR="006E719C" w:rsidRPr="002D07CB" w:rsidTr="002D07CB">
        <w:trPr>
          <w:trHeight w:val="2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 03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obserwacja w trakcie zajęć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konwersatorium </w:t>
            </w:r>
          </w:p>
        </w:tc>
      </w:tr>
      <w:tr w:rsidR="006E719C" w:rsidRPr="002D07CB" w:rsidTr="002D07CB">
        <w:trPr>
          <w:trHeight w:val="2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 04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obserwacja w trakcie zajęć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konwersatorium 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4.2 Warunki zaliczenia przedmiotu (kryteria oceniania)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zaliczenie testu na ocenę pozytywną (ponad 50 % poprawnych odpowiedzi)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5. CAŁKOWITY NAKŁAD PRACY STUDENTA POTRZEBNY DO OSIĄGNIĘCIA ZAŁOŻONYCH EFEKTÓW W GODZINACH ORAZ PUNKTACH ECTS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123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6E719C" w:rsidRPr="002D07CB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6E719C" w:rsidRPr="002D07CB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Godziny kontaktowe wynikające z </w:t>
            </w:r>
            <w:r w:rsidR="00EA0EC2" w:rsidRPr="002D07CB">
              <w:rPr>
                <w:rFonts w:ascii="Corbel" w:hAnsi="Corbel"/>
              </w:rPr>
              <w:t xml:space="preserve">harmonogramu </w:t>
            </w:r>
            <w:r w:rsidRPr="002D07CB">
              <w:rPr>
                <w:rFonts w:ascii="Corbel" w:hAnsi="Corbel"/>
              </w:rPr>
              <w:t xml:space="preserve">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20</w:t>
            </w:r>
          </w:p>
        </w:tc>
      </w:tr>
      <w:tr w:rsidR="006E719C" w:rsidRPr="002D07CB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Inne z udziałem nauczyciela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30</w:t>
            </w:r>
          </w:p>
        </w:tc>
      </w:tr>
      <w:tr w:rsidR="006E719C" w:rsidRPr="002D07CB">
        <w:trPr>
          <w:trHeight w:val="1114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Godziny niekontaktowe – praca własna studenta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50</w:t>
            </w:r>
          </w:p>
        </w:tc>
      </w:tr>
      <w:tr w:rsidR="006E719C" w:rsidRPr="002D07CB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100</w:t>
            </w:r>
          </w:p>
        </w:tc>
      </w:tr>
      <w:tr w:rsidR="006E719C" w:rsidRPr="002D07CB">
        <w:trPr>
          <w:trHeight w:val="28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4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* Należy uwzględnić, że 1 pkt ECTS odpowiada 25-30 godzin całkowitego nakładu pracy studenta. </w:t>
      </w:r>
    </w:p>
    <w:p w:rsid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2D07CB" w:rsidP="002D07CB">
      <w:pPr>
        <w:rPr>
          <w:rFonts w:ascii="Corbel" w:hAnsi="Corbel"/>
        </w:rPr>
      </w:pPr>
      <w:r>
        <w:rPr>
          <w:rFonts w:ascii="Corbel" w:hAnsi="Corbel"/>
        </w:rPr>
        <w:br w:type="column"/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6. PRAKTYKI ZAWODOWE W RAMACH PRZEDMIOTU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7516" w:type="dxa"/>
        <w:tblInd w:w="-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6E719C" w:rsidRPr="002D07CB" w:rsidTr="009533D9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 </w:t>
            </w:r>
            <w:r w:rsidR="00EA0EC2" w:rsidRPr="002D07CB">
              <w:rPr>
                <w:rFonts w:ascii="Corbel" w:hAnsi="Corbel"/>
              </w:rPr>
              <w:t>-</w:t>
            </w:r>
          </w:p>
        </w:tc>
      </w:tr>
      <w:tr w:rsidR="006E719C" w:rsidRPr="002D07CB" w:rsidTr="009533D9">
        <w:trPr>
          <w:trHeight w:val="562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 </w:t>
            </w:r>
            <w:r w:rsidR="00EA0EC2" w:rsidRPr="002D07CB">
              <w:rPr>
                <w:rFonts w:ascii="Corbel" w:hAnsi="Corbel"/>
              </w:rPr>
              <w:t>-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7. LITERATURA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8647" w:type="dxa"/>
        <w:tblInd w:w="-5" w:type="dxa"/>
        <w:tblCellMar>
          <w:top w:w="55" w:type="dxa"/>
          <w:left w:w="110" w:type="dxa"/>
          <w:right w:w="55" w:type="dxa"/>
        </w:tblCellMar>
        <w:tblLook w:val="04A0" w:firstRow="1" w:lastRow="0" w:firstColumn="1" w:lastColumn="0" w:noHBand="0" w:noVBand="1"/>
      </w:tblPr>
      <w:tblGrid>
        <w:gridCol w:w="8647"/>
      </w:tblGrid>
      <w:tr w:rsidR="006E719C" w:rsidRPr="002D07CB" w:rsidTr="009533D9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Literatura podstawowa: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Bezpieczeństwo publiczne a ochrona granicy państwowe RP, (red.) A. Konopka, Białystok 2010.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Misiuk, A., Historia bezpieczeństwa wewnętrznego w Polsce, Warszawa 2015.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Sójka W., Kołodziejczyk M., Zagrożenia bezpieczeństwa narodowego Rzeczypospolitej Polskiej w XXI wieku. Pojęcie, zakres i kwalifikacja, Warszawa 2016. </w:t>
            </w:r>
          </w:p>
        </w:tc>
      </w:tr>
      <w:tr w:rsidR="006E719C" w:rsidRPr="002D07CB" w:rsidTr="009533D9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Literatura uzupełniająca: 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Chomentowski P., Polski system antyterrorystyczny. Prawno-organizacyjne kierunki ewolucji, Warszawa 2014.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Koziej S., Brzowoski A., 25 lat polskiej strategii bezpieczeństwa, „Bezpieczeństwo narodowe” 2014.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Masiul K., Bezpieczeństwo Rzeczypospolitej Polskiej wobec współczesnego zagrożenia terroryzmem, Szczytno 2014.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Pieprzny S., Bezpieczeństwo zgromadzeń publicznych, Rzeszów 2013.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Szczerbowski R., Bezpieczeństwo energetyczne Polski –mix energetyczny i efektywność energetyczna, „Polityka energetyczna” 2013, t. 16.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Tyburska A., Przygotowania obronne w Policji. Wybrane zagadnienia i akty prawne, Szczytno 2014. 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Akceptacja Kierownika Jednostki lub osoby upoważnionej </w:t>
      </w:r>
    </w:p>
    <w:p w:rsidR="006E719C" w:rsidRPr="002D07CB" w:rsidRDefault="00E86F7B" w:rsidP="002D07CB">
      <w:pPr>
        <w:rPr>
          <w:rFonts w:ascii="Corbel" w:hAnsi="Corbel"/>
        </w:rPr>
      </w:pPr>
      <w:bookmarkStart w:id="0" w:name="_GoBack"/>
      <w:bookmarkEnd w:id="0"/>
      <w:r w:rsidRPr="002D07CB">
        <w:rPr>
          <w:rFonts w:ascii="Corbel" w:hAnsi="Corbel"/>
        </w:rPr>
        <w:t xml:space="preserve"> </w:t>
      </w:r>
    </w:p>
    <w:sectPr w:rsidR="006E719C" w:rsidRPr="002D07CB" w:rsidSect="002D07CB">
      <w:pgSz w:w="11906" w:h="16838"/>
      <w:pgMar w:top="709" w:right="991" w:bottom="114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2E6F" w:rsidRDefault="00AA2E6F" w:rsidP="00EA0EC2">
      <w:pPr>
        <w:spacing w:line="240" w:lineRule="auto"/>
      </w:pPr>
      <w:r>
        <w:separator/>
      </w:r>
    </w:p>
  </w:endnote>
  <w:endnote w:type="continuationSeparator" w:id="0">
    <w:p w:rsidR="00AA2E6F" w:rsidRDefault="00AA2E6F" w:rsidP="00EA0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2E6F" w:rsidRDefault="00AA2E6F" w:rsidP="00EA0EC2">
      <w:pPr>
        <w:spacing w:line="240" w:lineRule="auto"/>
      </w:pPr>
      <w:r>
        <w:separator/>
      </w:r>
    </w:p>
  </w:footnote>
  <w:footnote w:type="continuationSeparator" w:id="0">
    <w:p w:rsidR="00AA2E6F" w:rsidRDefault="00AA2E6F" w:rsidP="00EA0EC2">
      <w:pPr>
        <w:spacing w:line="240" w:lineRule="auto"/>
      </w:pPr>
      <w:r>
        <w:continuationSeparator/>
      </w:r>
    </w:p>
  </w:footnote>
  <w:footnote w:id="1">
    <w:p w:rsidR="00EA0EC2" w:rsidRDefault="00EA0EC2" w:rsidP="00EA0EC2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19C"/>
    <w:rsid w:val="000D2D6A"/>
    <w:rsid w:val="00224D01"/>
    <w:rsid w:val="002D07CB"/>
    <w:rsid w:val="005C1442"/>
    <w:rsid w:val="005F796C"/>
    <w:rsid w:val="006E719C"/>
    <w:rsid w:val="007E1B0A"/>
    <w:rsid w:val="00892554"/>
    <w:rsid w:val="008B3B76"/>
    <w:rsid w:val="008C3117"/>
    <w:rsid w:val="009533D9"/>
    <w:rsid w:val="00AA2E6F"/>
    <w:rsid w:val="00B207D7"/>
    <w:rsid w:val="00D67AEF"/>
    <w:rsid w:val="00DC58DA"/>
    <w:rsid w:val="00E86F7B"/>
    <w:rsid w:val="00EA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3D5FB5-2039-426F-85FA-D0FBB1275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37" w:lineRule="auto"/>
      <w:ind w:left="-5" w:right="-15" w:hanging="1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37" w:lineRule="auto"/>
      <w:ind w:left="-5" w:right="-15" w:hanging="10"/>
      <w:outlineLvl w:val="1"/>
    </w:pPr>
    <w:rPr>
      <w:rFonts w:ascii="Arial" w:eastAsia="Arial" w:hAnsi="Arial" w:cs="Aria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EA0EC2"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EA0EC2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EA0EC2"/>
    <w:rPr>
      <w:rFonts w:ascii="Calibri" w:eastAsia="Calibri" w:hAnsi="Calibri" w:cs="Calibri"/>
      <w:color w:val="000000"/>
      <w:sz w:val="2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0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0EC2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867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/>
  <LinksUpToDate>false</LinksUpToDate>
  <CharactersWithSpaces>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</dc:creator>
  <cp:keywords/>
  <cp:lastModifiedBy>Admin</cp:lastModifiedBy>
  <cp:revision>11</cp:revision>
  <dcterms:created xsi:type="dcterms:W3CDTF">2020-10-29T07:41:00Z</dcterms:created>
  <dcterms:modified xsi:type="dcterms:W3CDTF">2021-02-19T08:24:00Z</dcterms:modified>
</cp:coreProperties>
</file>